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alendar of events for the Spring Capstone Experience.  Reference this calendar if you are planning to participate in the Spring Capstone Experience."/>
      </w:tblPr>
      <w:tblGrid>
        <w:gridCol w:w="1620"/>
        <w:gridCol w:w="180"/>
        <w:gridCol w:w="8700"/>
      </w:tblGrid>
      <w:tr w:rsidR="0073532E" w:rsidRPr="0073532E" w:rsidTr="0073532E">
        <w:trPr>
          <w:tblHeader/>
        </w:trPr>
        <w:tc>
          <w:tcPr>
            <w:tcW w:w="0" w:type="auto"/>
            <w:gridSpan w:val="3"/>
            <w:tcBorders>
              <w:bottom w:val="single" w:sz="18" w:space="0" w:color="CCCCCC"/>
            </w:tcBorders>
            <w:tcMar>
              <w:top w:w="30" w:type="dxa"/>
              <w:left w:w="30" w:type="dxa"/>
              <w:bottom w:w="30" w:type="dxa"/>
              <w:right w:w="240" w:type="dxa"/>
            </w:tcMar>
            <w:vAlign w:val="center"/>
            <w:hideMark/>
          </w:tcPr>
          <w:p w:rsidR="0073532E" w:rsidRPr="0073532E" w:rsidRDefault="007917F4" w:rsidP="00346A95">
            <w:pPr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Fall</w:t>
            </w:r>
            <w:r w:rsidR="0073532E" w:rsidRPr="0073532E">
              <w:rPr>
                <w:b/>
                <w:bCs/>
                <w:sz w:val="20"/>
              </w:rPr>
              <w:t xml:space="preserve"> 201</w:t>
            </w:r>
            <w:r w:rsidR="00346A95">
              <w:rPr>
                <w:b/>
                <w:bCs/>
                <w:sz w:val="20"/>
              </w:rPr>
              <w:t>5</w:t>
            </w:r>
            <w:r w:rsidR="0073532E">
              <w:rPr>
                <w:b/>
                <w:bCs/>
                <w:sz w:val="20"/>
              </w:rPr>
              <w:t xml:space="preserve">  EOP Calendar</w:t>
            </w:r>
          </w:p>
        </w:tc>
      </w:tr>
      <w:tr w:rsidR="0073532E" w:rsidRPr="0073532E" w:rsidTr="000253D7">
        <w:trPr>
          <w:tblHeader/>
        </w:trPr>
        <w:tc>
          <w:tcPr>
            <w:tcW w:w="1620" w:type="dxa"/>
            <w:tcBorders>
              <w:bottom w:val="single" w:sz="18" w:space="0" w:color="CCCCCC"/>
            </w:tcBorders>
            <w:tcMar>
              <w:top w:w="30" w:type="dxa"/>
              <w:left w:w="30" w:type="dxa"/>
              <w:bottom w:w="30" w:type="dxa"/>
              <w:right w:w="240" w:type="dxa"/>
            </w:tcMar>
            <w:hideMark/>
          </w:tcPr>
          <w:p w:rsidR="0073532E" w:rsidRPr="0073532E" w:rsidRDefault="0073532E" w:rsidP="0073532E">
            <w:pPr>
              <w:rPr>
                <w:b/>
                <w:bCs/>
                <w:sz w:val="20"/>
              </w:rPr>
            </w:pPr>
            <w:r w:rsidRPr="0073532E">
              <w:rPr>
                <w:b/>
                <w:bCs/>
                <w:sz w:val="20"/>
              </w:rPr>
              <w:t>Dates &amp; Deadlines</w:t>
            </w:r>
          </w:p>
        </w:tc>
        <w:tc>
          <w:tcPr>
            <w:tcW w:w="8880" w:type="dxa"/>
            <w:gridSpan w:val="2"/>
            <w:tcBorders>
              <w:bottom w:val="single" w:sz="18" w:space="0" w:color="CCCCCC"/>
            </w:tcBorders>
            <w:tcMar>
              <w:top w:w="30" w:type="dxa"/>
              <w:left w:w="30" w:type="dxa"/>
              <w:bottom w:w="30" w:type="dxa"/>
              <w:right w:w="240" w:type="dxa"/>
            </w:tcMar>
            <w:vAlign w:val="center"/>
            <w:hideMark/>
          </w:tcPr>
          <w:p w:rsidR="0073532E" w:rsidRPr="0073532E" w:rsidRDefault="0073532E" w:rsidP="0073532E">
            <w:pPr>
              <w:rPr>
                <w:b/>
                <w:bCs/>
                <w:sz w:val="20"/>
              </w:rPr>
            </w:pPr>
            <w:r w:rsidRPr="0073532E">
              <w:rPr>
                <w:b/>
                <w:bCs/>
                <w:sz w:val="20"/>
              </w:rPr>
              <w:t>Events</w:t>
            </w:r>
          </w:p>
        </w:tc>
      </w:tr>
      <w:tr w:rsidR="0073532E" w:rsidRPr="0073532E" w:rsidTr="00384263">
        <w:tc>
          <w:tcPr>
            <w:tcW w:w="1800" w:type="dxa"/>
            <w:gridSpan w:val="2"/>
            <w:vAlign w:val="center"/>
            <w:hideMark/>
          </w:tcPr>
          <w:p w:rsidR="007D07C1" w:rsidRDefault="00C23239" w:rsidP="0073532E">
            <w:pPr>
              <w:rPr>
                <w:sz w:val="20"/>
              </w:rPr>
            </w:pPr>
            <w:r>
              <w:rPr>
                <w:sz w:val="20"/>
              </w:rPr>
              <w:t>June 3</w:t>
            </w:r>
            <w:r w:rsidR="004D303E">
              <w:rPr>
                <w:sz w:val="20"/>
              </w:rPr>
              <w:t>, 2015</w:t>
            </w:r>
          </w:p>
          <w:p w:rsidR="000253D7" w:rsidRPr="0073532E" w:rsidRDefault="000253D7" w:rsidP="00C2323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C23239">
              <w:rPr>
                <w:sz w:val="20"/>
              </w:rPr>
              <w:t>August 10</w:t>
            </w:r>
            <w:r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384263" w:rsidRDefault="00384263" w:rsidP="00A51A60">
            <w:pPr>
              <w:rPr>
                <w:b/>
                <w:sz w:val="20"/>
              </w:rPr>
            </w:pPr>
          </w:p>
          <w:p w:rsidR="00A64E8B" w:rsidRDefault="007D07C1" w:rsidP="00A51A60">
            <w:pPr>
              <w:rPr>
                <w:sz w:val="20"/>
              </w:rPr>
            </w:pPr>
            <w:r w:rsidRPr="0001398C">
              <w:rPr>
                <w:b/>
                <w:sz w:val="20"/>
              </w:rPr>
              <w:t>Toulouse Graduate School Graduation application window opens.</w:t>
            </w:r>
            <w:r>
              <w:rPr>
                <w:sz w:val="20"/>
              </w:rPr>
              <w:t xml:space="preserve"> See </w:t>
            </w:r>
            <w:hyperlink r:id="rId6" w:history="1">
              <w:r w:rsidRPr="00C74381">
                <w:rPr>
                  <w:rStyle w:val="Hyperlink"/>
                  <w:sz w:val="20"/>
                </w:rPr>
                <w:t>http://tsgs.unt.edu/academics/graduation</w:t>
              </w:r>
            </w:hyperlink>
            <w:r>
              <w:rPr>
                <w:sz w:val="20"/>
              </w:rPr>
              <w:t xml:space="preserve"> </w:t>
            </w:r>
            <w:r w:rsidR="00E60467" w:rsidRPr="000253D7">
              <w:rPr>
                <w:i/>
                <w:sz w:val="20"/>
              </w:rPr>
              <w:t>Note: LIS will submit</w:t>
            </w:r>
            <w:r w:rsidRPr="000253D7">
              <w:rPr>
                <w:i/>
                <w:sz w:val="20"/>
              </w:rPr>
              <w:t xml:space="preserve"> final degree plan</w:t>
            </w:r>
            <w:r w:rsidR="00E60467" w:rsidRPr="000253D7">
              <w:rPr>
                <w:i/>
                <w:sz w:val="20"/>
              </w:rPr>
              <w:t>s</w:t>
            </w:r>
            <w:r w:rsidRPr="000253D7">
              <w:rPr>
                <w:i/>
                <w:sz w:val="20"/>
              </w:rPr>
              <w:t xml:space="preserve"> to the Graduate School on </w:t>
            </w:r>
            <w:r w:rsidR="00E60467" w:rsidRPr="000253D7">
              <w:rPr>
                <w:i/>
                <w:sz w:val="20"/>
              </w:rPr>
              <w:t>a student’s</w:t>
            </w:r>
            <w:r w:rsidRPr="000253D7">
              <w:rPr>
                <w:i/>
                <w:sz w:val="20"/>
              </w:rPr>
              <w:t xml:space="preserve"> </w:t>
            </w:r>
            <w:r w:rsidR="005F2EC0">
              <w:rPr>
                <w:i/>
                <w:sz w:val="20"/>
              </w:rPr>
              <w:t xml:space="preserve">behalf </w:t>
            </w:r>
            <w:r w:rsidR="00A51A60">
              <w:rPr>
                <w:i/>
                <w:sz w:val="20"/>
              </w:rPr>
              <w:t>if</w:t>
            </w:r>
            <w:r w:rsidRPr="000253D7">
              <w:rPr>
                <w:i/>
                <w:sz w:val="20"/>
              </w:rPr>
              <w:t xml:space="preserve"> cleared for the EOP.</w:t>
            </w:r>
          </w:p>
          <w:p w:rsidR="0073532E" w:rsidRPr="0073532E" w:rsidRDefault="0073532E" w:rsidP="00A51A60">
            <w:pPr>
              <w:rPr>
                <w:sz w:val="20"/>
              </w:rPr>
            </w:pPr>
            <w:r w:rsidRPr="0073532E">
              <w:rPr>
                <w:sz w:val="20"/>
              </w:rPr>
              <w:t>LIS End of Program</w:t>
            </w:r>
            <w:r w:rsidR="007D07C1">
              <w:rPr>
                <w:sz w:val="20"/>
              </w:rPr>
              <w:t xml:space="preserve"> (EOP)</w:t>
            </w:r>
            <w:r w:rsidRPr="0073532E">
              <w:rPr>
                <w:sz w:val="20"/>
              </w:rPr>
              <w:t xml:space="preserve"> Examination Registration opens </w:t>
            </w:r>
            <w:r w:rsidR="00627051">
              <w:rPr>
                <w:sz w:val="20"/>
              </w:rPr>
              <w:t xml:space="preserve">at 10:00 AM (CST) on this day at </w:t>
            </w:r>
            <w:hyperlink r:id="rId7" w:history="1">
              <w:r w:rsidR="00627051" w:rsidRPr="00C74381">
                <w:rPr>
                  <w:rStyle w:val="Hyperlink"/>
                  <w:sz w:val="20"/>
                </w:rPr>
                <w:t>https://lis.unt.edu/end-program-exam-registration</w:t>
              </w:r>
            </w:hyperlink>
            <w:r w:rsidR="00627051">
              <w:rPr>
                <w:sz w:val="20"/>
              </w:rPr>
              <w:t xml:space="preserve"> 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C23239" w:rsidP="007D07C1">
            <w:pPr>
              <w:rPr>
                <w:sz w:val="20"/>
              </w:rPr>
            </w:pPr>
            <w:r>
              <w:rPr>
                <w:sz w:val="20"/>
              </w:rPr>
              <w:t>August 24,</w:t>
            </w:r>
            <w:r w:rsidR="004D303E">
              <w:rPr>
                <w:sz w:val="20"/>
              </w:rPr>
              <w:t xml:space="preserve"> 2015</w:t>
            </w:r>
          </w:p>
        </w:tc>
        <w:tc>
          <w:tcPr>
            <w:tcW w:w="8700" w:type="dxa"/>
            <w:hideMark/>
          </w:tcPr>
          <w:p w:rsidR="0073532E" w:rsidRPr="0073532E" w:rsidRDefault="00C23239" w:rsidP="004D303E">
            <w:pPr>
              <w:rPr>
                <w:sz w:val="20"/>
              </w:rPr>
            </w:pPr>
            <w:r>
              <w:rPr>
                <w:sz w:val="20"/>
              </w:rPr>
              <w:t>Fall 2015 Semester Begins, First Class Day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C23239" w:rsidP="004D303E">
            <w:pPr>
              <w:rPr>
                <w:sz w:val="20"/>
              </w:rPr>
            </w:pPr>
            <w:r>
              <w:rPr>
                <w:sz w:val="20"/>
              </w:rPr>
              <w:t>August 28</w:t>
            </w:r>
            <w:r w:rsidR="004D303E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E60467" w:rsidRDefault="00E60467" w:rsidP="0073532E">
            <w:pPr>
              <w:rPr>
                <w:sz w:val="20"/>
                <w:szCs w:val="20"/>
              </w:rPr>
            </w:pPr>
            <w:r w:rsidRPr="00E60467">
              <w:rPr>
                <w:sz w:val="20"/>
                <w:szCs w:val="20"/>
              </w:rPr>
              <w:t>There can be</w:t>
            </w:r>
            <w:r w:rsidRPr="00E60467">
              <w:rPr>
                <w:i/>
                <w:sz w:val="20"/>
                <w:szCs w:val="20"/>
                <w:u w:val="single"/>
              </w:rPr>
              <w:t xml:space="preserve"> </w:t>
            </w:r>
            <w:r w:rsidRPr="00E60467">
              <w:rPr>
                <w:rStyle w:val="Strong"/>
                <w:i/>
                <w:sz w:val="20"/>
                <w:szCs w:val="20"/>
                <w:u w:val="single"/>
              </w:rPr>
              <w:t>NO</w:t>
            </w:r>
            <w:r w:rsidRPr="00E60467">
              <w:rPr>
                <w:sz w:val="20"/>
                <w:szCs w:val="20"/>
              </w:rPr>
              <w:t xml:space="preserve"> incompletes on </w:t>
            </w:r>
            <w:r>
              <w:rPr>
                <w:sz w:val="20"/>
                <w:szCs w:val="20"/>
              </w:rPr>
              <w:t>a</w:t>
            </w:r>
            <w:r w:rsidRPr="00E60467">
              <w:rPr>
                <w:sz w:val="20"/>
                <w:szCs w:val="20"/>
              </w:rPr>
              <w:t xml:space="preserve"> student's record after this date for any courses used to fulfill the 36 semester credit hour course work requirement. </w:t>
            </w:r>
          </w:p>
          <w:p w:rsidR="0073532E" w:rsidRPr="0073532E" w:rsidRDefault="0073532E" w:rsidP="0073532E">
            <w:pPr>
              <w:numPr>
                <w:ilvl w:val="0"/>
                <w:numId w:val="5"/>
              </w:numPr>
              <w:rPr>
                <w:sz w:val="20"/>
              </w:rPr>
            </w:pPr>
            <w:r w:rsidRPr="0073532E">
              <w:rPr>
                <w:sz w:val="20"/>
              </w:rPr>
              <w:t>If the registrar shows an Incomplete, the student will not be cleared for the LIS End of Program Examination.</w:t>
            </w:r>
          </w:p>
          <w:p w:rsidR="0073532E" w:rsidRPr="0073532E" w:rsidRDefault="0073532E" w:rsidP="0073532E">
            <w:pPr>
              <w:numPr>
                <w:ilvl w:val="0"/>
                <w:numId w:val="5"/>
              </w:numPr>
              <w:rPr>
                <w:sz w:val="20"/>
              </w:rPr>
            </w:pPr>
            <w:r w:rsidRPr="0073532E">
              <w:rPr>
                <w:sz w:val="20"/>
              </w:rPr>
              <w:t>It is the student's responsibility to insure the Incomplete is cleared and on file with the UNT registrar by this date.</w:t>
            </w:r>
          </w:p>
          <w:p w:rsidR="0073532E" w:rsidRPr="0073532E" w:rsidRDefault="0073532E" w:rsidP="0073532E">
            <w:pPr>
              <w:numPr>
                <w:ilvl w:val="0"/>
                <w:numId w:val="5"/>
              </w:numPr>
              <w:rPr>
                <w:sz w:val="20"/>
              </w:rPr>
            </w:pPr>
            <w:r w:rsidRPr="0073532E">
              <w:rPr>
                <w:sz w:val="20"/>
              </w:rPr>
              <w:t>It normally takes several weeks for the Registrar to process an incomplete after the paper work is officially turned in, so students are advised to plan ahead.</w:t>
            </w:r>
          </w:p>
        </w:tc>
      </w:tr>
      <w:tr w:rsidR="00C23239" w:rsidRPr="0073532E" w:rsidTr="00032D4B">
        <w:tc>
          <w:tcPr>
            <w:tcW w:w="1800" w:type="dxa"/>
            <w:gridSpan w:val="2"/>
          </w:tcPr>
          <w:p w:rsidR="00C23239" w:rsidRDefault="00C23239" w:rsidP="00C415BF">
            <w:pPr>
              <w:rPr>
                <w:sz w:val="20"/>
              </w:rPr>
            </w:pPr>
            <w:r>
              <w:rPr>
                <w:sz w:val="20"/>
              </w:rPr>
              <w:t>September 8, 2015</w:t>
            </w:r>
          </w:p>
        </w:tc>
        <w:tc>
          <w:tcPr>
            <w:tcW w:w="8700" w:type="dxa"/>
          </w:tcPr>
          <w:p w:rsidR="00C23239" w:rsidRPr="0073532E" w:rsidRDefault="00C23239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LIS End of Program Examination Application closes at 10:00 AM (CST) on this day.</w:t>
            </w:r>
          </w:p>
        </w:tc>
      </w:tr>
      <w:tr w:rsidR="0073532E" w:rsidRPr="0073532E" w:rsidTr="002942B4">
        <w:trPr>
          <w:trHeight w:val="1410"/>
        </w:trPr>
        <w:tc>
          <w:tcPr>
            <w:tcW w:w="1800" w:type="dxa"/>
            <w:gridSpan w:val="2"/>
            <w:hideMark/>
          </w:tcPr>
          <w:p w:rsidR="0073532E" w:rsidRPr="0073532E" w:rsidRDefault="00032D4B" w:rsidP="00C415BF">
            <w:pPr>
              <w:rPr>
                <w:sz w:val="20"/>
              </w:rPr>
            </w:pPr>
            <w:r>
              <w:rPr>
                <w:sz w:val="20"/>
              </w:rPr>
              <w:t xml:space="preserve">September 11, </w:t>
            </w:r>
            <w:r w:rsidR="004D303E">
              <w:rPr>
                <w:sz w:val="20"/>
              </w:rPr>
              <w:t>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On this date students will be notified of their approval status for the LIS End of Program Examination.</w:t>
            </w:r>
          </w:p>
          <w:p w:rsidR="0073532E" w:rsidRPr="0073532E" w:rsidRDefault="0073532E" w:rsidP="0073532E">
            <w:pPr>
              <w:numPr>
                <w:ilvl w:val="0"/>
                <w:numId w:val="6"/>
              </w:numPr>
              <w:rPr>
                <w:sz w:val="20"/>
              </w:rPr>
            </w:pPr>
            <w:r w:rsidRPr="0073532E">
              <w:rPr>
                <w:sz w:val="20"/>
              </w:rPr>
              <w:t xml:space="preserve">If </w:t>
            </w:r>
            <w:r w:rsidRPr="0073532E">
              <w:rPr>
                <w:sz w:val="20"/>
                <w:u w:val="single"/>
              </w:rPr>
              <w:t>approved</w:t>
            </w:r>
            <w:r w:rsidRPr="0073532E">
              <w:rPr>
                <w:sz w:val="20"/>
              </w:rPr>
              <w:t xml:space="preserve">, </w:t>
            </w:r>
            <w:r w:rsidR="0007197A">
              <w:rPr>
                <w:sz w:val="20"/>
              </w:rPr>
              <w:t>students will access to</w:t>
            </w:r>
            <w:r w:rsidRPr="0073532E">
              <w:rPr>
                <w:sz w:val="20"/>
              </w:rPr>
              <w:t xml:space="preserve"> the EOP examination course in </w:t>
            </w:r>
            <w:hyperlink r:id="rId8" w:tgtFrame="_blank" w:history="1">
              <w:r w:rsidRPr="0073532E">
                <w:rPr>
                  <w:rStyle w:val="Hyperlink"/>
                  <w:sz w:val="20"/>
                </w:rPr>
                <w:t>Blackboard Learn</w:t>
              </w:r>
            </w:hyperlink>
            <w:r w:rsidRPr="0073532E">
              <w:rPr>
                <w:sz w:val="20"/>
              </w:rPr>
              <w:t>.</w:t>
            </w:r>
          </w:p>
          <w:p w:rsidR="0073532E" w:rsidRDefault="0073532E" w:rsidP="0007197A">
            <w:pPr>
              <w:numPr>
                <w:ilvl w:val="0"/>
                <w:numId w:val="6"/>
              </w:numPr>
              <w:rPr>
                <w:sz w:val="20"/>
              </w:rPr>
            </w:pPr>
            <w:r w:rsidRPr="0073532E">
              <w:rPr>
                <w:sz w:val="20"/>
              </w:rPr>
              <w:t xml:space="preserve">If not approved, </w:t>
            </w:r>
            <w:r w:rsidR="0007197A">
              <w:rPr>
                <w:sz w:val="20"/>
              </w:rPr>
              <w:t>students</w:t>
            </w:r>
            <w:r w:rsidRPr="0073532E">
              <w:rPr>
                <w:sz w:val="20"/>
              </w:rPr>
              <w:t xml:space="preserve"> will be notified </w:t>
            </w:r>
            <w:r w:rsidR="0007197A">
              <w:rPr>
                <w:sz w:val="20"/>
              </w:rPr>
              <w:t xml:space="preserve">via </w:t>
            </w:r>
            <w:proofErr w:type="spellStart"/>
            <w:r w:rsidR="0007197A">
              <w:rPr>
                <w:sz w:val="20"/>
              </w:rPr>
              <w:t>EagleConnect</w:t>
            </w:r>
            <w:proofErr w:type="spellEnd"/>
            <w:r w:rsidR="0007197A">
              <w:rPr>
                <w:sz w:val="20"/>
              </w:rPr>
              <w:t xml:space="preserve"> email</w:t>
            </w:r>
          </w:p>
          <w:p w:rsidR="00032D4B" w:rsidRPr="0073532E" w:rsidRDefault="00032D4B" w:rsidP="00032D4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If students receive neither access to the LIS End of </w:t>
            </w:r>
            <w:proofErr w:type="spellStart"/>
            <w:r>
              <w:rPr>
                <w:sz w:val="20"/>
              </w:rPr>
              <w:t>Prrgram</w:t>
            </w:r>
            <w:proofErr w:type="spellEnd"/>
            <w:r>
              <w:rPr>
                <w:sz w:val="20"/>
              </w:rPr>
              <w:t xml:space="preserve"> Examination site in Blackboard LEARN nor </w:t>
            </w:r>
            <w:r w:rsidR="004711F8">
              <w:rPr>
                <w:sz w:val="20"/>
              </w:rPr>
              <w:t xml:space="preserve">notification through </w:t>
            </w:r>
            <w:proofErr w:type="spellStart"/>
            <w:r w:rsidR="004711F8">
              <w:rPr>
                <w:sz w:val="20"/>
              </w:rPr>
              <w:t>EagleConnect</w:t>
            </w:r>
            <w:proofErr w:type="spellEnd"/>
            <w:r w:rsidR="004711F8">
              <w:rPr>
                <w:sz w:val="20"/>
              </w:rPr>
              <w:t xml:space="preserve"> by this date, they must contact the LIS End of Program Examination Committee at </w:t>
            </w:r>
            <w:hyperlink r:id="rId9" w:history="1">
              <w:r w:rsidR="004711F8" w:rsidRPr="007F2D49">
                <w:rPr>
                  <w:rStyle w:val="Hyperlink"/>
                  <w:sz w:val="20"/>
                </w:rPr>
                <w:t>LIS-Capstone@unt.edu</w:t>
              </w:r>
            </w:hyperlink>
            <w:r w:rsidR="004711F8">
              <w:rPr>
                <w:sz w:val="20"/>
              </w:rPr>
              <w:t xml:space="preserve"> .</w:t>
            </w:r>
          </w:p>
        </w:tc>
      </w:tr>
      <w:tr w:rsidR="0073532E" w:rsidRPr="0073532E" w:rsidTr="002942B4">
        <w:trPr>
          <w:trHeight w:val="1257"/>
        </w:trPr>
        <w:tc>
          <w:tcPr>
            <w:tcW w:w="1800" w:type="dxa"/>
            <w:gridSpan w:val="2"/>
            <w:hideMark/>
          </w:tcPr>
          <w:p w:rsidR="007D07C1" w:rsidRDefault="004711F8" w:rsidP="0073532E">
            <w:pPr>
              <w:rPr>
                <w:sz w:val="20"/>
              </w:rPr>
            </w:pPr>
            <w:r>
              <w:rPr>
                <w:sz w:val="20"/>
              </w:rPr>
              <w:t>September 11</w:t>
            </w:r>
            <w:r w:rsidR="004D303E">
              <w:rPr>
                <w:sz w:val="20"/>
              </w:rPr>
              <w:t>, 2015</w:t>
            </w:r>
          </w:p>
          <w:p w:rsidR="0073532E" w:rsidRPr="0073532E" w:rsidRDefault="0073532E" w:rsidP="0073532E">
            <w:pPr>
              <w:rPr>
                <w:sz w:val="20"/>
              </w:rPr>
            </w:pPr>
          </w:p>
        </w:tc>
        <w:tc>
          <w:tcPr>
            <w:tcW w:w="8700" w:type="dxa"/>
            <w:hideMark/>
          </w:tcPr>
          <w:p w:rsidR="0073532E" w:rsidRPr="00346A95" w:rsidRDefault="00346A95" w:rsidP="00A51A60">
            <w:pPr>
              <w:rPr>
                <w:sz w:val="18"/>
              </w:rPr>
            </w:pPr>
            <w:r w:rsidRPr="0001398C">
              <w:rPr>
                <w:b/>
                <w:sz w:val="20"/>
              </w:rPr>
              <w:t>Toulouse Graduate School graduation application window closes</w:t>
            </w:r>
            <w:r w:rsidRPr="00346A95">
              <w:rPr>
                <w:sz w:val="20"/>
              </w:rPr>
              <w:t>. This is the last day that applications for the semester will be accepted.</w:t>
            </w:r>
            <w:r>
              <w:rPr>
                <w:sz w:val="20"/>
              </w:rPr>
              <w:t xml:space="preserve"> </w:t>
            </w:r>
            <w:r w:rsidR="00E60467">
              <w:rPr>
                <w:sz w:val="20"/>
              </w:rPr>
              <w:t xml:space="preserve">See </w:t>
            </w:r>
            <w:hyperlink r:id="rId10" w:history="1">
              <w:r w:rsidR="00E60467" w:rsidRPr="00C74381">
                <w:rPr>
                  <w:rStyle w:val="Hyperlink"/>
                  <w:sz w:val="20"/>
                </w:rPr>
                <w:t>http://tsgs.unt.edu/academics/graduation</w:t>
              </w:r>
            </w:hyperlink>
            <w:r w:rsidR="00E60467">
              <w:rPr>
                <w:sz w:val="20"/>
              </w:rPr>
              <w:t xml:space="preserve"> </w:t>
            </w:r>
            <w:r w:rsidR="00E60467">
              <w:rPr>
                <w:i/>
                <w:sz w:val="20"/>
              </w:rPr>
              <w:t>Note: LIS will submit</w:t>
            </w:r>
            <w:r w:rsidR="00E60467" w:rsidRPr="007D07C1">
              <w:rPr>
                <w:i/>
                <w:sz w:val="20"/>
              </w:rPr>
              <w:t xml:space="preserve"> final degree plan</w:t>
            </w:r>
            <w:r w:rsidR="00E60467">
              <w:rPr>
                <w:i/>
                <w:sz w:val="20"/>
              </w:rPr>
              <w:t>s</w:t>
            </w:r>
            <w:r w:rsidR="00E60467" w:rsidRPr="007D07C1">
              <w:rPr>
                <w:i/>
                <w:sz w:val="20"/>
              </w:rPr>
              <w:t xml:space="preserve"> to the Graduate School on</w:t>
            </w:r>
            <w:r w:rsidR="00E60467">
              <w:rPr>
                <w:i/>
                <w:sz w:val="20"/>
              </w:rPr>
              <w:t xml:space="preserve"> a</w:t>
            </w:r>
            <w:r w:rsidR="00E60467" w:rsidRPr="007D07C1">
              <w:rPr>
                <w:i/>
                <w:sz w:val="20"/>
              </w:rPr>
              <w:t xml:space="preserve"> </w:t>
            </w:r>
            <w:r w:rsidR="00E60467">
              <w:rPr>
                <w:i/>
                <w:sz w:val="20"/>
              </w:rPr>
              <w:t>student’s</w:t>
            </w:r>
            <w:r w:rsidR="00E60467" w:rsidRPr="007D07C1">
              <w:rPr>
                <w:i/>
                <w:sz w:val="20"/>
              </w:rPr>
              <w:t xml:space="preserve"> behalf </w:t>
            </w:r>
            <w:r w:rsidR="00A51A60">
              <w:rPr>
                <w:i/>
                <w:sz w:val="20"/>
              </w:rPr>
              <w:t>if</w:t>
            </w:r>
            <w:r w:rsidR="00E60467" w:rsidRPr="007D07C1">
              <w:rPr>
                <w:i/>
                <w:sz w:val="20"/>
              </w:rPr>
              <w:t xml:space="preserve"> cleared for the EOP.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4D303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September 18</w:t>
            </w:r>
            <w:r w:rsidR="004D303E">
              <w:rPr>
                <w:b/>
                <w:bCs/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b/>
                <w:bCs/>
                <w:sz w:val="20"/>
              </w:rPr>
              <w:t>LIS End of Program Examination begins at 8:00 AM (CST) on this day.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73532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September 25</w:t>
            </w:r>
            <w:r w:rsidR="004D303E">
              <w:rPr>
                <w:b/>
                <w:bCs/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b/>
                <w:bCs/>
                <w:sz w:val="20"/>
              </w:rPr>
              <w:t>LIS End of Program Examination ends at 8:00 AM (CST) on this day. No essays will be accepted after 8:00 AM (CST).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C415BF">
            <w:pPr>
              <w:rPr>
                <w:sz w:val="20"/>
              </w:rPr>
            </w:pPr>
            <w:r>
              <w:rPr>
                <w:sz w:val="20"/>
              </w:rPr>
              <w:t>September 25</w:t>
            </w:r>
            <w:r w:rsidR="004D303E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LIS End of Program Questionnaire due. It will be in the online LIS End of Program Examination exam site. The graduate school will have a separate evaluation instrument.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7353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October 16</w:t>
            </w:r>
            <w:r w:rsidR="004D303E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Results of LIS End of Program Examination will be reported to students by this date.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CB33F5">
            <w:pPr>
              <w:rPr>
                <w:sz w:val="20"/>
              </w:rPr>
            </w:pPr>
            <w:r>
              <w:rPr>
                <w:sz w:val="20"/>
              </w:rPr>
              <w:t>October 2</w:t>
            </w:r>
            <w:r w:rsidR="00CB33F5">
              <w:rPr>
                <w:sz w:val="20"/>
              </w:rPr>
              <w:t>1</w:t>
            </w:r>
            <w:r w:rsidR="00831798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Students who wish to appeal the results of LIS End of Program Examination submit appeal letters by this date.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73532E">
            <w:pPr>
              <w:rPr>
                <w:sz w:val="20"/>
              </w:rPr>
            </w:pPr>
            <w:r>
              <w:rPr>
                <w:sz w:val="20"/>
              </w:rPr>
              <w:t>October 23</w:t>
            </w:r>
            <w:r w:rsidR="00831798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Results of appeals will be reported to students by this date.</w:t>
            </w:r>
          </w:p>
        </w:tc>
      </w:tr>
      <w:tr w:rsidR="0073532E" w:rsidRPr="0073532E" w:rsidTr="00032D4B">
        <w:tc>
          <w:tcPr>
            <w:tcW w:w="1800" w:type="dxa"/>
            <w:gridSpan w:val="2"/>
            <w:hideMark/>
          </w:tcPr>
          <w:p w:rsidR="0073532E" w:rsidRPr="0073532E" w:rsidRDefault="004711F8" w:rsidP="0073532E">
            <w:pPr>
              <w:rPr>
                <w:sz w:val="20"/>
              </w:rPr>
            </w:pPr>
            <w:r>
              <w:rPr>
                <w:sz w:val="20"/>
              </w:rPr>
              <w:t>October 23</w:t>
            </w:r>
            <w:r w:rsidR="00831798">
              <w:rPr>
                <w:sz w:val="20"/>
              </w:rPr>
              <w:t>, 2015</w:t>
            </w:r>
          </w:p>
        </w:tc>
        <w:tc>
          <w:tcPr>
            <w:tcW w:w="8700" w:type="dxa"/>
            <w:hideMark/>
          </w:tcPr>
          <w:p w:rsidR="0073532E" w:rsidRPr="0073532E" w:rsidRDefault="0073532E" w:rsidP="0073532E">
            <w:pPr>
              <w:rPr>
                <w:sz w:val="20"/>
              </w:rPr>
            </w:pPr>
            <w:r w:rsidRPr="0073532E">
              <w:rPr>
                <w:sz w:val="20"/>
              </w:rPr>
              <w:t>Last day to report to the graduate dean's office the results of final comprehensive examination for graduating master's students and remove grades of I in all required courses for graduate degrees.</w:t>
            </w:r>
          </w:p>
        </w:tc>
      </w:tr>
    </w:tbl>
    <w:p w:rsidR="0037312F" w:rsidRPr="0073532E" w:rsidRDefault="00F3189A">
      <w:pPr>
        <w:rPr>
          <w:sz w:val="20"/>
        </w:rPr>
      </w:pPr>
    </w:p>
    <w:sectPr w:rsidR="0037312F" w:rsidRPr="0073532E" w:rsidSect="00032D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0E8"/>
    <w:multiLevelType w:val="multilevel"/>
    <w:tmpl w:val="A1D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582A"/>
    <w:multiLevelType w:val="multilevel"/>
    <w:tmpl w:val="FCB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A11"/>
    <w:multiLevelType w:val="multilevel"/>
    <w:tmpl w:val="81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66A9D"/>
    <w:multiLevelType w:val="multilevel"/>
    <w:tmpl w:val="C91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B66DC"/>
    <w:multiLevelType w:val="multilevel"/>
    <w:tmpl w:val="964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D4603"/>
    <w:multiLevelType w:val="multilevel"/>
    <w:tmpl w:val="518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E"/>
    <w:rsid w:val="0001398C"/>
    <w:rsid w:val="000253D7"/>
    <w:rsid w:val="00032D4B"/>
    <w:rsid w:val="0007197A"/>
    <w:rsid w:val="00115743"/>
    <w:rsid w:val="002542A4"/>
    <w:rsid w:val="002942B4"/>
    <w:rsid w:val="00346A95"/>
    <w:rsid w:val="003834DA"/>
    <w:rsid w:val="00384263"/>
    <w:rsid w:val="004711F8"/>
    <w:rsid w:val="004D303E"/>
    <w:rsid w:val="005F2EC0"/>
    <w:rsid w:val="00627051"/>
    <w:rsid w:val="00721D99"/>
    <w:rsid w:val="0073532E"/>
    <w:rsid w:val="007917F4"/>
    <w:rsid w:val="007D07C1"/>
    <w:rsid w:val="00831798"/>
    <w:rsid w:val="00A447C1"/>
    <w:rsid w:val="00A51A60"/>
    <w:rsid w:val="00A64E8B"/>
    <w:rsid w:val="00B731D6"/>
    <w:rsid w:val="00C23239"/>
    <w:rsid w:val="00C415BF"/>
    <w:rsid w:val="00CB33F5"/>
    <w:rsid w:val="00E60467"/>
    <w:rsid w:val="00F3189A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604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604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unt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.unt.edu/end-program-exam-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gs.unt.edu/academics/gradu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sgs.unt.edu/academics/grad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-Capstone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Information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Faber</dc:creator>
  <cp:lastModifiedBy>Wendy Briley</cp:lastModifiedBy>
  <cp:revision>2</cp:revision>
  <cp:lastPrinted>2014-09-19T16:35:00Z</cp:lastPrinted>
  <dcterms:created xsi:type="dcterms:W3CDTF">2015-08-08T16:16:00Z</dcterms:created>
  <dcterms:modified xsi:type="dcterms:W3CDTF">2015-08-08T16:16:00Z</dcterms:modified>
</cp:coreProperties>
</file>